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附件1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：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2018年市教委研究生项目及负责部门对应表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tbl>
      <w:tblPr>
        <w:tblStyle w:val="4"/>
        <w:tblW w:w="88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631"/>
        <w:gridCol w:w="2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63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项目名称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负责部门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6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上海政法学院法律硕士专业学位研究生上海市仲裁委员会实践基地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6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2018年上海市丝绸之路涉外高端律师暑期学校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6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2018年上海市研究生学术论坛——法律案例分析大赛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研究生处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6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2018年上海政法学院法律硕士系列课程建设项目申报书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研究生处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6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2018年上海政法学院监狱学方向法律硕士综合改革项目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警务学院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A2516"/>
    <w:rsid w:val="2FDA2516"/>
    <w:rsid w:val="31DE086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140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2018-11-14T02:56:00Z</dcterms:created>
  <dc:creator>也也也老师</dc:creator>
  <cp:lastModifiedBy>也也也老师</cp:lastModifiedBy>
  <dcterms:modified xsi:type="dcterms:W3CDTF">2018-11-14T05:17:29Z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